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5F5D953">
      <w:pPr>
        <w:pStyle w:val="2"/>
        <w:spacing w:before="190" w:line="215" w:lineRule="auto"/>
        <w:ind w:left="63"/>
      </w:pPr>
      <w:r>
        <w:drawing>
          <wp:anchor distT="0" distB="0" distL="0" distR="0" simplePos="0" relativeHeight="251659264" behindDoc="1" locked="0" layoutInCell="1" allowOverlap="1">
            <wp:simplePos x="0" y="0"/>
            <wp:positionH relativeFrom="column">
              <wp:posOffset>252095</wp:posOffset>
            </wp:positionH>
            <wp:positionV relativeFrom="paragraph">
              <wp:posOffset>156845</wp:posOffset>
            </wp:positionV>
            <wp:extent cx="5975350" cy="1384935"/>
            <wp:effectExtent l="0" t="0" r="13970" b="1905"/>
            <wp:wrapNone/>
            <wp:docPr id="4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 4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75350" cy="1384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1312" behindDoc="0" locked="0" layoutInCell="0" allowOverlap="1">
            <wp:simplePos x="0" y="0"/>
            <wp:positionH relativeFrom="page">
              <wp:posOffset>3349625</wp:posOffset>
            </wp:positionH>
            <wp:positionV relativeFrom="page">
              <wp:posOffset>171450</wp:posOffset>
            </wp:positionV>
            <wp:extent cx="770890" cy="661035"/>
            <wp:effectExtent l="0" t="0" r="6350" b="9525"/>
            <wp:wrapNone/>
            <wp:docPr id="2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 2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71029" cy="6610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026" o:spid="_x0000_s1026" o:spt="202" type="#_x0000_t202" style="position:absolute;left:0pt;margin-left:293.5pt;margin-top:9.55pt;height:25.5pt;width:228.6pt;z-index:25166028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 w14:paraId="7FE9F0FE">
                  <w:pPr>
                    <w:pStyle w:val="2"/>
                    <w:spacing w:before="20" w:line="179" w:lineRule="auto"/>
                    <w:ind w:left="20"/>
                  </w:pPr>
                  <w:r>
                    <w:rPr>
                      <w:color w:val="002060"/>
                      <w:spacing w:val="-1"/>
                    </w:rPr>
                    <w:t>TRADE AND</w:t>
                  </w:r>
                  <w:r>
                    <w:rPr>
                      <w:color w:val="002060"/>
                      <w:spacing w:val="15"/>
                      <w:w w:val="101"/>
                    </w:rPr>
                    <w:t xml:space="preserve"> </w:t>
                  </w:r>
                  <w:r>
                    <w:rPr>
                      <w:color w:val="002060"/>
                      <w:spacing w:val="-1"/>
                    </w:rPr>
                    <w:t>INVESTMENT</w:t>
                  </w:r>
                  <w:r>
                    <w:rPr>
                      <w:color w:val="002060"/>
                      <w:spacing w:val="15"/>
                    </w:rPr>
                    <w:t xml:space="preserve"> </w:t>
                  </w:r>
                  <w:r>
                    <w:rPr>
                      <w:color w:val="002060"/>
                      <w:spacing w:val="-1"/>
                    </w:rPr>
                    <w:t>PROMOTION CENTER</w:t>
                  </w:r>
                  <w:r>
                    <w:rPr>
                      <w:color w:val="002060"/>
                      <w:spacing w:val="-2"/>
                    </w:rPr>
                    <w:t xml:space="preserve"> OF</w:t>
                  </w:r>
                </w:p>
                <w:p w14:paraId="27C59189">
                  <w:pPr>
                    <w:pStyle w:val="2"/>
                    <w:spacing w:before="68" w:line="179" w:lineRule="auto"/>
                    <w:ind w:left="33"/>
                  </w:pPr>
                  <w:r>
                    <w:rPr>
                      <w:b/>
                      <w:bCs/>
                      <w:color w:val="002060"/>
                      <w:spacing w:val="-2"/>
                    </w:rPr>
                    <w:t>BELT AND</w:t>
                  </w:r>
                  <w:r>
                    <w:rPr>
                      <w:b/>
                      <w:bCs/>
                      <w:color w:val="002060"/>
                      <w:spacing w:val="14"/>
                    </w:rPr>
                    <w:t xml:space="preserve"> </w:t>
                  </w:r>
                  <w:r>
                    <w:rPr>
                      <w:b/>
                      <w:bCs/>
                      <w:color w:val="002060"/>
                      <w:spacing w:val="-2"/>
                    </w:rPr>
                    <w:t>ROAD</w:t>
                  </w:r>
                  <w:r>
                    <w:rPr>
                      <w:b/>
                      <w:bCs/>
                      <w:color w:val="002060"/>
                      <w:spacing w:val="14"/>
                    </w:rPr>
                    <w:t xml:space="preserve"> </w:t>
                  </w:r>
                  <w:r>
                    <w:rPr>
                      <w:b/>
                      <w:bCs/>
                      <w:color w:val="002060"/>
                      <w:spacing w:val="-2"/>
                    </w:rPr>
                    <w:t>INITIATI</w:t>
                  </w:r>
                  <w:r>
                    <w:rPr>
                      <w:b/>
                      <w:bCs/>
                      <w:color w:val="002060"/>
                      <w:spacing w:val="-3"/>
                    </w:rPr>
                    <w:t>VE</w:t>
                  </w:r>
                  <w:r>
                    <w:rPr>
                      <w:b/>
                      <w:bCs/>
                      <w:color w:val="002060"/>
                      <w:spacing w:val="15"/>
                      <w:w w:val="101"/>
                    </w:rPr>
                    <w:t xml:space="preserve"> </w:t>
                  </w:r>
                  <w:r>
                    <w:rPr>
                      <w:b/>
                      <w:bCs/>
                      <w:color w:val="002060"/>
                      <w:spacing w:val="-3"/>
                    </w:rPr>
                    <w:t>IN</w:t>
                  </w:r>
                  <w:r>
                    <w:rPr>
                      <w:b/>
                      <w:bCs/>
                      <w:color w:val="002060"/>
                      <w:spacing w:val="12"/>
                    </w:rPr>
                    <w:t xml:space="preserve"> </w:t>
                  </w:r>
                  <w:r>
                    <w:rPr>
                      <w:b/>
                      <w:bCs/>
                      <w:color w:val="002060"/>
                      <w:spacing w:val="-3"/>
                    </w:rPr>
                    <w:t>UKRAINE</w:t>
                  </w:r>
                </w:p>
              </w:txbxContent>
            </v:textbox>
          </v:shape>
        </w:pict>
      </w:r>
      <w:r>
        <w:rPr>
          <w:color w:val="002060"/>
          <w:spacing w:val="-2"/>
        </w:rPr>
        <w:t>ЦЕНТР</w:t>
      </w:r>
      <w:r>
        <w:rPr>
          <w:color w:val="002060"/>
          <w:spacing w:val="32"/>
        </w:rPr>
        <w:t xml:space="preserve"> </w:t>
      </w:r>
      <w:r>
        <w:rPr>
          <w:color w:val="002060"/>
          <w:spacing w:val="-2"/>
        </w:rPr>
        <w:t>ПРОСУВАННЯ ТОРГІВЛІ ТА</w:t>
      </w:r>
      <w:r>
        <w:rPr>
          <w:color w:val="002060"/>
          <w:spacing w:val="18"/>
          <w:w w:val="101"/>
        </w:rPr>
        <w:t xml:space="preserve"> </w:t>
      </w:r>
      <w:r>
        <w:rPr>
          <w:color w:val="002060"/>
          <w:spacing w:val="-2"/>
        </w:rPr>
        <w:t>ІНВЕСТИЦІЙ</w:t>
      </w:r>
    </w:p>
    <w:p w14:paraId="1352AB05">
      <w:pPr>
        <w:pStyle w:val="2"/>
        <w:spacing w:before="66" w:line="181" w:lineRule="auto"/>
        <w:ind w:left="54"/>
      </w:pPr>
      <w:r>
        <w:rPr>
          <w:b/>
          <w:bCs/>
          <w:color w:val="002060"/>
          <w:spacing w:val="-2"/>
        </w:rPr>
        <w:t>«ОДИН</w:t>
      </w:r>
      <w:r>
        <w:rPr>
          <w:b/>
          <w:bCs/>
          <w:color w:val="002060"/>
          <w:spacing w:val="15"/>
        </w:rPr>
        <w:t xml:space="preserve"> </w:t>
      </w:r>
      <w:r>
        <w:rPr>
          <w:b/>
          <w:bCs/>
          <w:color w:val="002060"/>
          <w:spacing w:val="-2"/>
        </w:rPr>
        <w:t>ПОЯС, ОДИН</w:t>
      </w:r>
      <w:r>
        <w:rPr>
          <w:b/>
          <w:bCs/>
          <w:color w:val="002060"/>
          <w:spacing w:val="13"/>
        </w:rPr>
        <w:t xml:space="preserve"> </w:t>
      </w:r>
      <w:r>
        <w:rPr>
          <w:b/>
          <w:bCs/>
          <w:color w:val="002060"/>
          <w:spacing w:val="-2"/>
        </w:rPr>
        <w:t>ШЛЯХ»</w:t>
      </w:r>
    </w:p>
    <w:p w14:paraId="7977F579">
      <w:pPr>
        <w:spacing w:line="282" w:lineRule="auto"/>
        <w:rPr>
          <w:rFonts w:ascii="Arial"/>
          <w:sz w:val="21"/>
        </w:rPr>
      </w:pPr>
    </w:p>
    <w:p w14:paraId="0E80E2E4">
      <w:pPr>
        <w:spacing w:before="117" w:line="182" w:lineRule="auto"/>
        <w:ind w:left="2708"/>
        <w:outlineLvl w:val="0"/>
        <w:rPr>
          <w:rFonts w:ascii="Microsoft JhengHei" w:hAnsi="Microsoft JhengHei" w:eastAsia="Microsoft JhengHei" w:cs="Microsoft JhengHei"/>
          <w:sz w:val="27"/>
          <w:szCs w:val="27"/>
        </w:rPr>
      </w:pPr>
      <w:r>
        <w:rPr>
          <w:rFonts w:ascii="Microsoft JhengHei" w:hAnsi="Microsoft JhengHei" w:eastAsia="Microsoft JhengHei" w:cs="Microsoft JhengHei"/>
          <w:color w:val="830303"/>
          <w:spacing w:val="5"/>
          <w:sz w:val="27"/>
          <w:szCs w:val="27"/>
        </w:rPr>
        <w:t>乌克兰</w:t>
      </w:r>
      <w:r>
        <w:rPr>
          <w:rFonts w:ascii="Malgun Gothic Semilight" w:hAnsi="Malgun Gothic Semilight" w:eastAsia="Malgun Gothic Semilight" w:cs="Malgun Gothic Semilight"/>
          <w:color w:val="830303"/>
          <w:spacing w:val="5"/>
          <w:sz w:val="27"/>
          <w:szCs w:val="27"/>
        </w:rPr>
        <w:t>“</w:t>
      </w:r>
      <w:r>
        <w:rPr>
          <w:rFonts w:ascii="Malgun Gothic Semilight" w:hAnsi="Malgun Gothic Semilight" w:eastAsia="Malgun Gothic Semilight" w:cs="Malgun Gothic Semilight"/>
          <w:color w:val="830303"/>
          <w:spacing w:val="-46"/>
          <w:sz w:val="27"/>
          <w:szCs w:val="27"/>
        </w:rPr>
        <w:t xml:space="preserve"> </w:t>
      </w:r>
      <w:r>
        <w:rPr>
          <w:rFonts w:ascii="MS Gothic" w:hAnsi="MS Gothic" w:eastAsia="MS Gothic" w:cs="MS Gothic"/>
          <w:color w:val="830303"/>
          <w:spacing w:val="5"/>
          <w:sz w:val="27"/>
          <w:szCs w:val="27"/>
        </w:rPr>
        <w:t>一</w:t>
      </w:r>
      <w:r>
        <w:rPr>
          <w:rFonts w:ascii="Microsoft JhengHei" w:hAnsi="Microsoft JhengHei" w:eastAsia="Microsoft JhengHei" w:cs="Microsoft JhengHei"/>
          <w:color w:val="830303"/>
          <w:spacing w:val="5"/>
          <w:sz w:val="27"/>
          <w:szCs w:val="27"/>
        </w:rPr>
        <w:t>带一路</w:t>
      </w:r>
      <w:r>
        <w:rPr>
          <w:rFonts w:ascii="Malgun Gothic Semilight" w:hAnsi="Malgun Gothic Semilight" w:eastAsia="Malgun Gothic Semilight" w:cs="Malgun Gothic Semilight"/>
          <w:color w:val="830303"/>
          <w:spacing w:val="5"/>
          <w:sz w:val="27"/>
          <w:szCs w:val="27"/>
        </w:rPr>
        <w:t>”</w:t>
      </w:r>
      <w:r>
        <w:rPr>
          <w:rFonts w:ascii="Malgun Gothic Semilight" w:hAnsi="Malgun Gothic Semilight" w:eastAsia="Malgun Gothic Semilight" w:cs="Malgun Gothic Semilight"/>
          <w:color w:val="830303"/>
          <w:spacing w:val="-52"/>
          <w:sz w:val="27"/>
          <w:szCs w:val="27"/>
        </w:rPr>
        <w:t xml:space="preserve"> </w:t>
      </w:r>
      <w:r>
        <w:rPr>
          <w:rFonts w:ascii="Microsoft JhengHei" w:hAnsi="Microsoft JhengHei" w:eastAsia="Microsoft JhengHei" w:cs="Microsoft JhengHei"/>
          <w:color w:val="830303"/>
          <w:spacing w:val="5"/>
          <w:sz w:val="27"/>
          <w:szCs w:val="27"/>
        </w:rPr>
        <w:t>贸易投资促进中心</w:t>
      </w:r>
    </w:p>
    <w:p w14:paraId="6242143B">
      <w:pPr>
        <w:spacing w:line="273" w:lineRule="auto"/>
        <w:rPr>
          <w:rFonts w:ascii="Arial"/>
          <w:sz w:val="21"/>
        </w:rPr>
      </w:pPr>
    </w:p>
    <w:p w14:paraId="2242EB4A">
      <w:pPr>
        <w:spacing w:line="273" w:lineRule="auto"/>
        <w:rPr>
          <w:rFonts w:ascii="Arial"/>
          <w:sz w:val="21"/>
        </w:rPr>
      </w:pPr>
    </w:p>
    <w:p w14:paraId="0DAAFC97">
      <w:pPr>
        <w:pStyle w:val="2"/>
        <w:tabs>
          <w:tab w:val="left" w:pos="1651"/>
        </w:tabs>
        <w:spacing w:before="74" w:line="179" w:lineRule="auto"/>
        <w:rPr>
          <w:spacing w:val="-21"/>
          <w:sz w:val="24"/>
          <w:szCs w:val="24"/>
        </w:rPr>
      </w:pPr>
    </w:p>
    <w:p w14:paraId="1F6BD5EC">
      <w:pPr>
        <w:pStyle w:val="2"/>
        <w:tabs>
          <w:tab w:val="left" w:pos="1651"/>
        </w:tabs>
        <w:spacing w:before="74" w:line="360" w:lineRule="auto"/>
        <w:rPr>
          <w:rFonts w:ascii="Arial"/>
          <w:sz w:val="21"/>
        </w:rPr>
      </w:pPr>
      <w:r>
        <w:rPr>
          <w:spacing w:val="-21"/>
          <w:sz w:val="24"/>
          <w:szCs w:val="24"/>
        </w:rPr>
        <w:t>№</w:t>
      </w:r>
      <w:r>
        <w:rPr>
          <w:sz w:val="24"/>
          <w:szCs w:val="24"/>
          <w:u w:val="single" w:color="auto"/>
        </w:rPr>
        <w:t xml:space="preserve">   </w:t>
      </w:r>
      <w:r>
        <w:rPr>
          <w:rFonts w:hint="eastAsia" w:eastAsia="SimSun"/>
          <w:sz w:val="24"/>
          <w:szCs w:val="24"/>
          <w:u w:val="single" w:color="auto"/>
          <w:lang w:val="en-US" w:eastAsia="zh-CN"/>
        </w:rPr>
        <w:t>076/</w:t>
      </w:r>
      <w:r>
        <w:rPr>
          <w:sz w:val="24"/>
          <w:szCs w:val="24"/>
          <w:u w:val="single" w:color="auto"/>
        </w:rPr>
        <w:t xml:space="preserve"> </w:t>
      </w:r>
      <w:r>
        <w:rPr>
          <w:rFonts w:hint="eastAsia" w:eastAsia="SimSun"/>
          <w:sz w:val="24"/>
          <w:szCs w:val="24"/>
          <w:u w:val="single" w:color="auto"/>
          <w:lang w:val="en-US" w:eastAsia="zh-CN"/>
        </w:rPr>
        <w:t>13.05.</w:t>
      </w:r>
      <w:r>
        <w:rPr>
          <w:sz w:val="24"/>
          <w:szCs w:val="24"/>
          <w:u w:val="single" w:color="auto"/>
        </w:rPr>
        <w:t xml:space="preserve"> </w:t>
      </w:r>
      <w:r>
        <w:rPr>
          <w:rFonts w:hint="eastAsia" w:eastAsia="SimSun"/>
          <w:sz w:val="24"/>
          <w:szCs w:val="24"/>
          <w:u w:val="single" w:color="auto"/>
          <w:lang w:val="en-US" w:eastAsia="zh-CN"/>
        </w:rPr>
        <w:t>2025.</w:t>
      </w:r>
      <w:r>
        <w:rPr>
          <w:sz w:val="24"/>
          <w:szCs w:val="24"/>
          <w:u w:val="single" w:color="auto"/>
        </w:rPr>
        <w:t xml:space="preserve">   </w:t>
      </w:r>
      <w:bookmarkStart w:id="0" w:name="_GoBack"/>
      <w:bookmarkEnd w:id="0"/>
    </w:p>
    <w:tbl>
      <w:tblPr>
        <w:tblStyle w:val="6"/>
        <w:tblpPr w:leftFromText="180" w:rightFromText="180" w:vertAnchor="text" w:horzAnchor="page" w:tblpX="427" w:tblpY="380"/>
        <w:tblOverlap w:val="never"/>
        <w:tblW w:w="1131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17"/>
        <w:gridCol w:w="1518"/>
        <w:gridCol w:w="4080"/>
        <w:gridCol w:w="3055"/>
        <w:gridCol w:w="2048"/>
      </w:tblGrid>
      <w:tr w14:paraId="064CDF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4" w:hRule="atLeast"/>
        </w:trPr>
        <w:tc>
          <w:tcPr>
            <w:tcW w:w="617" w:type="dxa"/>
          </w:tcPr>
          <w:p w14:paraId="57D9F035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18" w:type="dxa"/>
          </w:tcPr>
          <w:p w14:paraId="250E411F">
            <w:pPr>
              <w:widowControl w:val="0"/>
              <w:spacing w:after="0"/>
              <w:jc w:val="both"/>
              <w:rPr>
                <w:rFonts w:hint="eastAsia" w:asciiTheme="minorEastAsia" w:hAnsiTheme="minorEastAsia" w:eastAsiaTheme="minorEastAsia" w:cstheme="minorEastAsia"/>
                <w:b/>
                <w:bCs w:val="0"/>
                <w:color w:val="auto"/>
                <w:sz w:val="32"/>
                <w:szCs w:val="32"/>
                <w:highlight w:val="none"/>
                <w:u w:val="none"/>
                <w:lang w:val="en-US" w:eastAsia="zh-CN"/>
              </w:rPr>
            </w:pPr>
          </w:p>
          <w:p w14:paraId="2B8C7C79">
            <w:pPr>
              <w:widowControl w:val="0"/>
              <w:spacing w:after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 w:val="0"/>
                <w:color w:val="auto"/>
                <w:sz w:val="32"/>
                <w:szCs w:val="32"/>
                <w:highlight w:val="none"/>
                <w:u w:val="none"/>
                <w:lang w:val="en-US" w:eastAsia="zh-CN"/>
              </w:rPr>
              <w:t>姓名</w:t>
            </w:r>
          </w:p>
        </w:tc>
        <w:tc>
          <w:tcPr>
            <w:tcW w:w="4080" w:type="dxa"/>
          </w:tcPr>
          <w:p w14:paraId="2D7AA84B">
            <w:pPr>
              <w:widowControl w:val="0"/>
              <w:spacing w:after="0"/>
              <w:jc w:val="both"/>
              <w:rPr>
                <w:rFonts w:hint="eastAsia" w:cs="Arial" w:eastAsiaTheme="minor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</w:p>
          <w:p w14:paraId="5E7788DB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cs="Arial" w:eastAsiaTheme="minor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公司名称</w:t>
            </w:r>
          </w:p>
        </w:tc>
        <w:tc>
          <w:tcPr>
            <w:tcW w:w="3055" w:type="dxa"/>
          </w:tcPr>
          <w:p w14:paraId="1C29976C">
            <w:pPr>
              <w:widowControl w:val="0"/>
              <w:spacing w:after="0"/>
              <w:jc w:val="center"/>
              <w:rPr>
                <w:rFonts w:hint="eastAsia" w:cs="Arial" w:eastAsiaTheme="minor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</w:p>
          <w:p w14:paraId="58F098D7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cs="Arial" w:eastAsiaTheme="minor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经营范围</w:t>
            </w:r>
          </w:p>
        </w:tc>
        <w:tc>
          <w:tcPr>
            <w:tcW w:w="2048" w:type="dxa"/>
          </w:tcPr>
          <w:p w14:paraId="47D442EC">
            <w:pPr>
              <w:widowControl w:val="0"/>
              <w:spacing w:after="0"/>
              <w:jc w:val="center"/>
              <w:rPr>
                <w:rFonts w:hint="eastAsia" w:cs="Arial" w:eastAsiaTheme="minor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</w:p>
          <w:p w14:paraId="3CF33C22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cs="Arial" w:eastAsiaTheme="minor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访乌目的</w:t>
            </w:r>
          </w:p>
        </w:tc>
      </w:tr>
      <w:tr w14:paraId="5E4CDE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0" w:hRule="atLeast"/>
        </w:trPr>
        <w:tc>
          <w:tcPr>
            <w:tcW w:w="617" w:type="dxa"/>
          </w:tcPr>
          <w:p w14:paraId="392CF627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1518" w:type="dxa"/>
          </w:tcPr>
          <w:p w14:paraId="5DFB27A8">
            <w:pPr>
              <w:widowControl w:val="0"/>
              <w:spacing w:after="0"/>
              <w:ind w:firstLine="560" w:firstLineChars="200"/>
              <w:jc w:val="both"/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sz w:val="28"/>
                <w:szCs w:val="28"/>
                <w:highlight w:val="none"/>
                <w:u w:val="single"/>
                <w:lang w:val="en"/>
              </w:rPr>
            </w:pPr>
          </w:p>
          <w:p w14:paraId="0DC5FED7">
            <w:pPr>
              <w:widowControl w:val="0"/>
              <w:spacing w:after="0"/>
              <w:ind w:firstLine="560" w:firstLineChars="200"/>
              <w:jc w:val="both"/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sz w:val="28"/>
                <w:szCs w:val="28"/>
                <w:highlight w:val="none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sz w:val="28"/>
                <w:szCs w:val="28"/>
                <w:highlight w:val="none"/>
                <w:u w:val="single"/>
                <w:lang w:val="en"/>
              </w:rPr>
              <w:t>郭隽</w:t>
            </w:r>
          </w:p>
          <w:p w14:paraId="6EDF88F5">
            <w:pPr>
              <w:widowControl w:val="0"/>
              <w:spacing w:after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sz w:val="28"/>
                <w:szCs w:val="28"/>
                <w:highlight w:val="none"/>
                <w:u w:val="none"/>
                <w:lang w:val="en-US" w:eastAsia="zh-CN"/>
              </w:rPr>
              <w:t>GUO JUN</w:t>
            </w:r>
            <w:r>
              <w:rPr>
                <w:rFonts w:hint="eastAsia" w:asciiTheme="minorEastAsia" w:hAnsiTheme="minorEastAsia" w:eastAsiaTheme="minorEastAsia" w:cstheme="minorEastAsia"/>
                <w:b/>
                <w:bCs w:val="0"/>
                <w:color w:val="auto"/>
                <w:sz w:val="28"/>
                <w:szCs w:val="28"/>
                <w:highlight w:val="none"/>
                <w:u w:val="none"/>
                <w:lang w:val="en-US" w:eastAsia="zh-CN"/>
              </w:rPr>
              <w:t xml:space="preserve"> </w:t>
            </w:r>
          </w:p>
        </w:tc>
        <w:tc>
          <w:tcPr>
            <w:tcW w:w="4080" w:type="dxa"/>
          </w:tcPr>
          <w:p w14:paraId="5FF1100B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b w:val="0"/>
                <w:bCs/>
                <w:sz w:val="28"/>
                <w:szCs w:val="28"/>
                <w:lang w:val="en"/>
              </w:rPr>
            </w:pPr>
            <w:r>
              <w:rPr>
                <w:rFonts w:hint="default" w:ascii="Arial" w:hAnsi="Arial" w:cs="Arial" w:eastAsiaTheme="minorEastAsia"/>
                <w:b w:val="0"/>
                <w:bCs/>
                <w:sz w:val="28"/>
                <w:szCs w:val="28"/>
                <w:lang w:val="en"/>
              </w:rPr>
              <w:t>华美节能科技集团有限公司</w:t>
            </w:r>
          </w:p>
          <w:p w14:paraId="47B64597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b w:val="0"/>
                <w:bCs/>
                <w:sz w:val="28"/>
                <w:szCs w:val="28"/>
                <w:lang w:val="en"/>
              </w:rPr>
              <w:t xml:space="preserve">Decoration Building Materials Co., Ltd.  </w:t>
            </w:r>
          </w:p>
        </w:tc>
        <w:tc>
          <w:tcPr>
            <w:tcW w:w="3055" w:type="dxa"/>
          </w:tcPr>
          <w:p w14:paraId="0C1EE2F1">
            <w:pPr>
              <w:tabs>
                <w:tab w:val="left" w:pos="759"/>
              </w:tabs>
              <w:bidi w:val="0"/>
              <w:spacing w:after="0"/>
              <w:jc w:val="left"/>
              <w:rPr>
                <w:rFonts w:hint="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建材，保温棉/挤塑/橡塑</w:t>
            </w:r>
          </w:p>
          <w:p w14:paraId="654E973D">
            <w:pPr>
              <w:tabs>
                <w:tab w:val="left" w:pos="759"/>
              </w:tabs>
              <w:bidi w:val="0"/>
              <w:spacing w:after="0"/>
              <w:jc w:val="left"/>
              <w:rPr>
                <w:rFonts w:hint="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Building materials</w:t>
            </w:r>
          </w:p>
          <w:p w14:paraId="12241350">
            <w:pPr>
              <w:tabs>
                <w:tab w:val="left" w:pos="759"/>
              </w:tabs>
              <w:bidi w:val="0"/>
              <w:spacing w:after="0"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Insulation cotton/extruded products/rubber-plastic</w:t>
            </w:r>
          </w:p>
        </w:tc>
        <w:tc>
          <w:tcPr>
            <w:tcW w:w="2048" w:type="dxa"/>
          </w:tcPr>
          <w:p w14:paraId="255A3738">
            <w:pPr>
              <w:widowControl w:val="0"/>
              <w:spacing w:after="0"/>
              <w:jc w:val="center"/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建材进口</w:t>
            </w:r>
            <w:r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  <w:t>商</w:t>
            </w:r>
          </w:p>
          <w:p w14:paraId="4DCD5B0C">
            <w:pPr>
              <w:widowControl w:val="0"/>
              <w:spacing w:after="0"/>
              <w:jc w:val="center"/>
              <w:rPr>
                <w:rFonts w:hint="default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cs="Arial" w:eastAsiaTheme="minorEastAsia"/>
                <w:sz w:val="28"/>
                <w:szCs w:val="28"/>
                <w:vertAlign w:val="baseline"/>
                <w:lang w:val="en-US" w:eastAsia="zh-CN"/>
              </w:rPr>
              <w:t>Building materials importer</w:t>
            </w:r>
          </w:p>
        </w:tc>
      </w:tr>
      <w:tr w14:paraId="04BA29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17" w:type="dxa"/>
          </w:tcPr>
          <w:p w14:paraId="111032C9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1518" w:type="dxa"/>
          </w:tcPr>
          <w:p w14:paraId="4309311A">
            <w:pPr>
              <w:widowControl w:val="0"/>
              <w:spacing w:after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</w:pPr>
          </w:p>
          <w:p w14:paraId="092F443C">
            <w:pPr>
              <w:widowControl w:val="0"/>
              <w:spacing w:after="0"/>
              <w:jc w:val="center"/>
              <w:rPr>
                <w:rFonts w:hint="default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  <w:t>金合</w:t>
            </w:r>
          </w:p>
          <w:p w14:paraId="46D4F6A0">
            <w:pPr>
              <w:widowControl w:val="0"/>
              <w:spacing w:after="0"/>
              <w:jc w:val="center"/>
              <w:rPr>
                <w:rFonts w:hint="default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  <w:t>JIN HE</w:t>
            </w:r>
          </w:p>
        </w:tc>
        <w:tc>
          <w:tcPr>
            <w:tcW w:w="4080" w:type="dxa"/>
          </w:tcPr>
          <w:p w14:paraId="090B55E0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浙江古川机械有限公司</w:t>
            </w:r>
          </w:p>
          <w:p w14:paraId="4AC25095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Zhejiang Guchuan Machinery Co., Ltd.</w:t>
            </w:r>
          </w:p>
        </w:tc>
        <w:tc>
          <w:tcPr>
            <w:tcW w:w="3055" w:type="dxa"/>
          </w:tcPr>
          <w:p w14:paraId="101EACD8">
            <w:pPr>
              <w:widowControl w:val="0"/>
              <w:spacing w:after="0"/>
              <w:jc w:val="center"/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制造商/</w:t>
            </w:r>
            <w:r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  <w:t xml:space="preserve"> 出</w:t>
            </w: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口包装设备、食品加工设备</w:t>
            </w:r>
            <w:r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  <w:t>,</w:t>
            </w:r>
          </w:p>
          <w:p w14:paraId="5C496439">
            <w:pPr>
              <w:widowControl w:val="0"/>
              <w:spacing w:after="0"/>
              <w:jc w:val="center"/>
              <w:rPr>
                <w:rFonts w:hint="default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cs="Arial" w:eastAsiaTheme="minorEastAsia"/>
                <w:sz w:val="28"/>
                <w:szCs w:val="28"/>
                <w:vertAlign w:val="baseline"/>
                <w:lang w:val="en-US" w:eastAsia="zh-CN"/>
              </w:rPr>
              <w:t>Manufacturer/Importer</w:t>
            </w:r>
            <w:r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  <w:t>，Packaging equipment, food processing equipment</w:t>
            </w:r>
          </w:p>
        </w:tc>
        <w:tc>
          <w:tcPr>
            <w:tcW w:w="2048" w:type="dxa"/>
          </w:tcPr>
          <w:p w14:paraId="15B14246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设备进口商、食品生产企业</w:t>
            </w:r>
          </w:p>
          <w:p w14:paraId="2E270DC5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Export, investment</w:t>
            </w:r>
          </w:p>
          <w:p w14:paraId="4D85FEF9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Equipment importers, food production enterprises</w:t>
            </w:r>
          </w:p>
        </w:tc>
      </w:tr>
      <w:tr w14:paraId="270AB7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17" w:type="dxa"/>
          </w:tcPr>
          <w:p w14:paraId="10411034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1518" w:type="dxa"/>
          </w:tcPr>
          <w:p w14:paraId="523C6FB9">
            <w:pPr>
              <w:widowControl w:val="0"/>
              <w:spacing w:after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eastAsia="zh-CN"/>
              </w:rPr>
            </w:pPr>
          </w:p>
          <w:p w14:paraId="346C3AD0">
            <w:pPr>
              <w:widowControl w:val="0"/>
              <w:spacing w:after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eastAsia="zh-CN"/>
              </w:rPr>
              <w:t>李训芹</w:t>
            </w:r>
          </w:p>
          <w:p w14:paraId="69B588EE">
            <w:pPr>
              <w:widowControl w:val="0"/>
              <w:spacing w:after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eastAsia="zh-CN"/>
              </w:rPr>
              <w:t>Li Xunqin</w:t>
            </w:r>
          </w:p>
        </w:tc>
        <w:tc>
          <w:tcPr>
            <w:tcW w:w="4080" w:type="dxa"/>
          </w:tcPr>
          <w:p w14:paraId="4AE0112D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上海轩叶物流有限公司</w:t>
            </w:r>
          </w:p>
          <w:p w14:paraId="531C98D1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Shanghai Xuanye Logistics Co., Ltd.</w:t>
            </w:r>
          </w:p>
        </w:tc>
        <w:tc>
          <w:tcPr>
            <w:tcW w:w="3055" w:type="dxa"/>
          </w:tcPr>
          <w:p w14:paraId="6A915C16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服务商</w:t>
            </w:r>
            <w:r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  <w:t xml:space="preserve">/ </w:t>
            </w: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仓储、物流、汽车运输、国内外业务</w:t>
            </w:r>
          </w:p>
          <w:p w14:paraId="479E6FD3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Service provider</w:t>
            </w:r>
          </w:p>
          <w:p w14:paraId="5AC70E9D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Warehousing, logistics, road transport, domestic &amp; international business</w:t>
            </w:r>
          </w:p>
        </w:tc>
        <w:tc>
          <w:tcPr>
            <w:tcW w:w="2048" w:type="dxa"/>
          </w:tcPr>
          <w:p w14:paraId="524062F6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投资、生产、服务</w:t>
            </w:r>
            <w:r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  <w:t>及</w:t>
            </w: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可再生能源</w:t>
            </w:r>
          </w:p>
          <w:p w14:paraId="60E9A962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Investment, production, services</w:t>
            </w:r>
          </w:p>
          <w:p w14:paraId="52951013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Renewable energy</w:t>
            </w:r>
          </w:p>
        </w:tc>
      </w:tr>
      <w:tr w14:paraId="294BB6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4" w:hRule="atLeast"/>
        </w:trPr>
        <w:tc>
          <w:tcPr>
            <w:tcW w:w="617" w:type="dxa"/>
          </w:tcPr>
          <w:p w14:paraId="29A62F01">
            <w:pPr>
              <w:widowControl w:val="0"/>
              <w:spacing w:after="0"/>
              <w:jc w:val="center"/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</w:p>
          <w:p w14:paraId="12BAB97C">
            <w:pPr>
              <w:widowControl w:val="0"/>
              <w:spacing w:after="0"/>
              <w:jc w:val="center"/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</w:p>
          <w:p w14:paraId="53E895BC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  <w:t>4</w:t>
            </w:r>
          </w:p>
        </w:tc>
        <w:tc>
          <w:tcPr>
            <w:tcW w:w="1518" w:type="dxa"/>
          </w:tcPr>
          <w:p w14:paraId="695971E2">
            <w:pPr>
              <w:widowControl w:val="0"/>
              <w:spacing w:after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eastAsia="zh-CN"/>
              </w:rPr>
            </w:pPr>
          </w:p>
          <w:p w14:paraId="3074A39E">
            <w:pPr>
              <w:widowControl w:val="0"/>
              <w:spacing w:after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eastAsia="zh-CN"/>
              </w:rPr>
            </w:pPr>
          </w:p>
          <w:p w14:paraId="0C2DEF7B">
            <w:pPr>
              <w:widowControl w:val="0"/>
              <w:spacing w:after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eastAsia="zh-CN"/>
              </w:rPr>
            </w:pPr>
          </w:p>
          <w:p w14:paraId="448D8F25">
            <w:pPr>
              <w:widowControl w:val="0"/>
              <w:spacing w:after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eastAsia="zh-CN"/>
              </w:rPr>
              <w:t>林沁</w:t>
            </w:r>
          </w:p>
          <w:p w14:paraId="502C9875">
            <w:pPr>
              <w:widowControl w:val="0"/>
              <w:spacing w:after="0"/>
              <w:jc w:val="center"/>
              <w:rPr>
                <w:rFonts w:hint="default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  <w:t>LIN QIN</w:t>
            </w:r>
          </w:p>
        </w:tc>
        <w:tc>
          <w:tcPr>
            <w:tcW w:w="4080" w:type="dxa"/>
          </w:tcPr>
          <w:p w14:paraId="7AE525ED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西安天茂智能科技有限公司</w:t>
            </w:r>
          </w:p>
          <w:p w14:paraId="54032232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Xi'an Tianmao Intelligent Technology Co., Ltd.</w:t>
            </w:r>
          </w:p>
        </w:tc>
        <w:tc>
          <w:tcPr>
            <w:tcW w:w="3055" w:type="dxa"/>
          </w:tcPr>
          <w:p w14:paraId="1DD8B1A9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制造商/服务提供商</w:t>
            </w:r>
          </w:p>
          <w:p w14:paraId="7140BFAC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无人机、机器人、测绘装备及服务、芯片贸易</w:t>
            </w:r>
          </w:p>
          <w:p w14:paraId="390F435C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Manufacturer/</w:t>
            </w:r>
          </w:p>
          <w:p w14:paraId="5954D0D1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Drones, robots, surveying equipment &amp; services, chip trade</w:t>
            </w:r>
          </w:p>
          <w:p w14:paraId="188D7ABA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2048" w:type="dxa"/>
          </w:tcPr>
          <w:p w14:paraId="675DA7D2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科技</w:t>
            </w:r>
          </w:p>
          <w:p w14:paraId="20A37219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Technology</w:t>
            </w:r>
          </w:p>
          <w:p w14:paraId="77021CFA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出口、投资</w:t>
            </w:r>
          </w:p>
          <w:p w14:paraId="075B63D7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Technology importers</w:t>
            </w:r>
          </w:p>
        </w:tc>
      </w:tr>
      <w:tr w14:paraId="0BE1C6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4" w:hRule="atLeast"/>
        </w:trPr>
        <w:tc>
          <w:tcPr>
            <w:tcW w:w="617" w:type="dxa"/>
          </w:tcPr>
          <w:p w14:paraId="4FD54E4E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  <w:t>5</w:t>
            </w:r>
          </w:p>
        </w:tc>
        <w:tc>
          <w:tcPr>
            <w:tcW w:w="1518" w:type="dxa"/>
          </w:tcPr>
          <w:p w14:paraId="17F11762">
            <w:pPr>
              <w:widowControl w:val="0"/>
              <w:spacing w:after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eastAsia="zh-CN"/>
              </w:rPr>
            </w:pPr>
          </w:p>
          <w:p w14:paraId="22790187">
            <w:pPr>
              <w:widowControl w:val="0"/>
              <w:spacing w:after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eastAsia="zh-CN"/>
              </w:rPr>
            </w:pPr>
          </w:p>
          <w:p w14:paraId="0BACFFE2">
            <w:pPr>
              <w:widowControl w:val="0"/>
              <w:spacing w:after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eastAsia="zh-CN"/>
              </w:rPr>
            </w:pPr>
          </w:p>
          <w:p w14:paraId="6D537A07">
            <w:pPr>
              <w:widowControl w:val="0"/>
              <w:spacing w:after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eastAsia="zh-CN"/>
              </w:rPr>
              <w:t>马颖</w:t>
            </w:r>
          </w:p>
          <w:p w14:paraId="5CC4889A">
            <w:pPr>
              <w:widowControl w:val="0"/>
              <w:spacing w:after="0"/>
              <w:jc w:val="center"/>
              <w:rPr>
                <w:rFonts w:hint="default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  <w:t>MA YING</w:t>
            </w:r>
          </w:p>
        </w:tc>
        <w:tc>
          <w:tcPr>
            <w:tcW w:w="4080" w:type="dxa"/>
          </w:tcPr>
          <w:p w14:paraId="5F982453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上海市津宇国际贸易有限公司</w:t>
            </w:r>
          </w:p>
          <w:p w14:paraId="180A5B05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Shanghai Jinyu International Trading Co., Ltd.</w:t>
            </w:r>
          </w:p>
        </w:tc>
        <w:tc>
          <w:tcPr>
            <w:tcW w:w="3055" w:type="dxa"/>
          </w:tcPr>
          <w:p w14:paraId="6CDA53B6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钢材、医药</w:t>
            </w:r>
          </w:p>
          <w:p w14:paraId="52A896D3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Steel products, pharmaceuticals</w:t>
            </w:r>
          </w:p>
        </w:tc>
        <w:tc>
          <w:tcPr>
            <w:tcW w:w="2048" w:type="dxa"/>
          </w:tcPr>
          <w:p w14:paraId="42B8B996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寻找可合作的经销商</w:t>
            </w:r>
            <w:r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  <w:t>:</w:t>
            </w: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基建、医药进口商</w:t>
            </w:r>
            <w:r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  <w:t>:</w:t>
            </w:r>
          </w:p>
          <w:p w14:paraId="29F30588">
            <w:pPr>
              <w:widowControl w:val="0"/>
              <w:spacing w:after="0"/>
              <w:jc w:val="center"/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Find cooperative distributInfrastructure &amp; pharmaceutical importersors</w:t>
            </w:r>
            <w:r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  <w:t>:</w:t>
            </w:r>
          </w:p>
          <w:p w14:paraId="3D555162">
            <w:pPr>
              <w:widowControl w:val="0"/>
              <w:spacing w:after="0"/>
              <w:jc w:val="center"/>
              <w:rPr>
                <w:rFonts w:hint="default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363CD4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7" w:hRule="atLeast"/>
        </w:trPr>
        <w:tc>
          <w:tcPr>
            <w:tcW w:w="617" w:type="dxa"/>
          </w:tcPr>
          <w:p w14:paraId="42E22D87">
            <w:pPr>
              <w:widowControl w:val="0"/>
              <w:spacing w:after="0"/>
              <w:jc w:val="center"/>
              <w:rPr>
                <w:rFonts w:hint="default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  <w:t>6</w:t>
            </w:r>
          </w:p>
        </w:tc>
        <w:tc>
          <w:tcPr>
            <w:tcW w:w="1518" w:type="dxa"/>
          </w:tcPr>
          <w:p w14:paraId="41447B0E">
            <w:pPr>
              <w:widowControl w:val="0"/>
              <w:spacing w:after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eastAsia="zh-CN"/>
              </w:rPr>
            </w:pPr>
          </w:p>
          <w:p w14:paraId="3E41EDE2">
            <w:pPr>
              <w:widowControl w:val="0"/>
              <w:spacing w:after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eastAsia="zh-CN"/>
              </w:rPr>
            </w:pPr>
          </w:p>
          <w:p w14:paraId="78DB0D41">
            <w:pPr>
              <w:widowControl w:val="0"/>
              <w:spacing w:after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eastAsia="zh-CN"/>
              </w:rPr>
            </w:pPr>
          </w:p>
          <w:p w14:paraId="2486A283">
            <w:pPr>
              <w:widowControl w:val="0"/>
              <w:spacing w:after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eastAsia="zh-CN"/>
              </w:rPr>
              <w:t>唐洪翠</w:t>
            </w:r>
          </w:p>
          <w:p w14:paraId="4169C6CF">
            <w:pPr>
              <w:widowControl w:val="0"/>
              <w:spacing w:after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  <w:t>TANG</w:t>
            </w:r>
          </w:p>
          <w:p w14:paraId="71B0227B">
            <w:pPr>
              <w:widowControl w:val="0"/>
              <w:spacing w:after="0"/>
              <w:jc w:val="center"/>
              <w:rPr>
                <w:rFonts w:hint="default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  <w:t>HONGCUI</w:t>
            </w:r>
          </w:p>
        </w:tc>
        <w:tc>
          <w:tcPr>
            <w:tcW w:w="4080" w:type="dxa"/>
          </w:tcPr>
          <w:p w14:paraId="6360D8B5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深圳市宇风创新科技有限公司</w:t>
            </w:r>
          </w:p>
          <w:p w14:paraId="02D56388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Shenzhen Yufeng Innovation Technology Co., Ltd.</w:t>
            </w:r>
          </w:p>
        </w:tc>
        <w:tc>
          <w:tcPr>
            <w:tcW w:w="3055" w:type="dxa"/>
          </w:tcPr>
          <w:p w14:paraId="095724AF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工贸一体</w:t>
            </w:r>
            <w:r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  <w:t>,家庭用品、小电器、宠物用品</w:t>
            </w:r>
          </w:p>
          <w:p w14:paraId="15DA9BE3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Household goods, small appliances, pet supplies</w:t>
            </w:r>
          </w:p>
          <w:p w14:paraId="5342FAB5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Industrial &amp; trade integration</w:t>
            </w:r>
          </w:p>
        </w:tc>
        <w:tc>
          <w:tcPr>
            <w:tcW w:w="2048" w:type="dxa"/>
          </w:tcPr>
          <w:p w14:paraId="4ACCD6C1">
            <w:pPr>
              <w:widowControl w:val="0"/>
              <w:spacing w:after="0"/>
              <w:jc w:val="center"/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电子电器行业进口商</w:t>
            </w:r>
            <w:r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  <w:t>,</w:t>
            </w:r>
          </w:p>
          <w:p w14:paraId="650516F9">
            <w:pPr>
              <w:widowControl w:val="0"/>
              <w:spacing w:after="0"/>
              <w:jc w:val="center"/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投资</w:t>
            </w:r>
            <w:r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  <w:t>项目,</w:t>
            </w:r>
          </w:p>
          <w:p w14:paraId="69429D20">
            <w:pPr>
              <w:widowControl w:val="0"/>
              <w:spacing w:after="0"/>
              <w:jc w:val="center"/>
              <w:rPr>
                <w:rFonts w:hint="default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cs="Arial" w:eastAsiaTheme="minorEastAsia"/>
                <w:sz w:val="28"/>
                <w:szCs w:val="28"/>
                <w:vertAlign w:val="baseline"/>
                <w:lang w:val="en-US" w:eastAsia="zh-CN"/>
              </w:rPr>
              <w:t xml:space="preserve">Export, </w:t>
            </w:r>
          </w:p>
          <w:p w14:paraId="3814C08B">
            <w:pPr>
              <w:widowControl w:val="0"/>
              <w:spacing w:after="0"/>
              <w:jc w:val="center"/>
              <w:rPr>
                <w:rFonts w:hint="default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cs="Arial" w:eastAsiaTheme="minorEastAsia"/>
                <w:sz w:val="28"/>
                <w:szCs w:val="28"/>
                <w:vertAlign w:val="baseline"/>
                <w:lang w:val="en-US" w:eastAsia="zh-CN"/>
              </w:rPr>
              <w:t>Electronics &amp; electrical industry importers</w:t>
            </w:r>
          </w:p>
          <w:p w14:paraId="4D75C3EB">
            <w:pPr>
              <w:widowControl w:val="0"/>
              <w:spacing w:after="0"/>
              <w:ind w:firstLine="281" w:firstLineChars="100"/>
              <w:jc w:val="both"/>
              <w:rPr>
                <w:rFonts w:hint="default" w:cs="Arial" w:eastAsiaTheme="minor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</w:p>
          <w:p w14:paraId="60E514FE">
            <w:pPr>
              <w:widowControl w:val="0"/>
              <w:spacing w:after="0"/>
              <w:ind w:firstLine="281" w:firstLineChars="100"/>
              <w:jc w:val="both"/>
              <w:rPr>
                <w:rFonts w:hint="default" w:cs="Arial" w:eastAsiaTheme="minor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cs="Arial" w:eastAsiaTheme="minor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investment</w:t>
            </w:r>
          </w:p>
          <w:p w14:paraId="3FF46B90">
            <w:pPr>
              <w:widowControl w:val="0"/>
              <w:spacing w:after="0"/>
              <w:jc w:val="center"/>
              <w:rPr>
                <w:rFonts w:hint="default" w:cs="Arial" w:eastAsiaTheme="minor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</w:p>
          <w:p w14:paraId="25C9A521">
            <w:pPr>
              <w:widowControl w:val="0"/>
              <w:spacing w:after="0"/>
              <w:jc w:val="center"/>
              <w:rPr>
                <w:rFonts w:hint="default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5C9988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4" w:hRule="atLeast"/>
        </w:trPr>
        <w:tc>
          <w:tcPr>
            <w:tcW w:w="617" w:type="dxa"/>
          </w:tcPr>
          <w:p w14:paraId="523F8DDB">
            <w:pPr>
              <w:widowControl w:val="0"/>
              <w:spacing w:after="0"/>
              <w:jc w:val="center"/>
              <w:rPr>
                <w:rFonts w:hint="default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  <w:t>7</w:t>
            </w:r>
          </w:p>
        </w:tc>
        <w:tc>
          <w:tcPr>
            <w:tcW w:w="1518" w:type="dxa"/>
          </w:tcPr>
          <w:p w14:paraId="449E6976">
            <w:pPr>
              <w:widowControl w:val="0"/>
              <w:spacing w:after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  <w:t>张铭</w:t>
            </w:r>
          </w:p>
          <w:p w14:paraId="68F82870">
            <w:pPr>
              <w:widowControl w:val="0"/>
              <w:spacing w:after="0"/>
              <w:jc w:val="center"/>
              <w:rPr>
                <w:rFonts w:hint="default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  <w:t>ZHANGMING</w:t>
            </w:r>
          </w:p>
        </w:tc>
        <w:tc>
          <w:tcPr>
            <w:tcW w:w="4080" w:type="dxa"/>
          </w:tcPr>
          <w:p w14:paraId="572D9851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上海山茶文化传播有限公司</w:t>
            </w:r>
          </w:p>
          <w:p w14:paraId="6DF821E9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 xml:space="preserve">Shanghai Shancha Culture Communication Co., Ltd. </w:t>
            </w:r>
          </w:p>
        </w:tc>
        <w:tc>
          <w:tcPr>
            <w:tcW w:w="3055" w:type="dxa"/>
          </w:tcPr>
          <w:p w14:paraId="1686CDD6">
            <w:pPr>
              <w:widowControl w:val="0"/>
              <w:spacing w:after="0"/>
              <w:ind w:firstLine="281" w:firstLineChars="100"/>
              <w:jc w:val="both"/>
              <w:rPr>
                <w:rFonts w:hint="default" w:cs="Arial" w:eastAsiaTheme="minor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</w:p>
          <w:p w14:paraId="0D208307">
            <w:pPr>
              <w:widowControl w:val="0"/>
              <w:spacing w:after="0"/>
              <w:ind w:firstLine="281" w:firstLineChars="100"/>
              <w:jc w:val="both"/>
              <w:rPr>
                <w:rFonts w:hint="default" w:cs="Arial" w:eastAsiaTheme="minor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cs="Arial" w:eastAsiaTheme="minor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investment</w:t>
            </w:r>
          </w:p>
          <w:p w14:paraId="1CA2A3F3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2048" w:type="dxa"/>
          </w:tcPr>
          <w:p w14:paraId="7D245828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</w:p>
          <w:p w14:paraId="7CE97699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Electric vehicles</w:t>
            </w:r>
          </w:p>
        </w:tc>
      </w:tr>
      <w:tr w14:paraId="17A133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4" w:hRule="atLeast"/>
        </w:trPr>
        <w:tc>
          <w:tcPr>
            <w:tcW w:w="617" w:type="dxa"/>
          </w:tcPr>
          <w:p w14:paraId="30CE68BF">
            <w:pPr>
              <w:widowControl w:val="0"/>
              <w:spacing w:after="0"/>
              <w:jc w:val="center"/>
              <w:rPr>
                <w:rFonts w:hint="default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  <w:t>8</w:t>
            </w:r>
          </w:p>
        </w:tc>
        <w:tc>
          <w:tcPr>
            <w:tcW w:w="1518" w:type="dxa"/>
          </w:tcPr>
          <w:p w14:paraId="67496F0B">
            <w:pPr>
              <w:widowControl w:val="0"/>
              <w:spacing w:after="0"/>
              <w:jc w:val="center"/>
              <w:rPr>
                <w:rFonts w:hint="default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  <w:t>刘军</w:t>
            </w:r>
          </w:p>
        </w:tc>
        <w:tc>
          <w:tcPr>
            <w:tcW w:w="4080" w:type="dxa"/>
          </w:tcPr>
          <w:p w14:paraId="61A6385B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  <w:t>上禾建筑设计有限公司</w:t>
            </w:r>
          </w:p>
          <w:p w14:paraId="3D059CEB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Shanghe Architectural Design Co., Ltd</w:t>
            </w:r>
          </w:p>
          <w:p w14:paraId="6CA0FF77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上</w:t>
            </w:r>
            <w:r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  <w:t>禾</w:t>
            </w: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旅游文化发展（上海）有限公司</w:t>
            </w:r>
          </w:p>
          <w:p w14:paraId="6764295A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Shanghe Tourism Culture Development (Shanghai) Co.,</w:t>
            </w:r>
          </w:p>
          <w:p w14:paraId="3F9FDC3B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 xml:space="preserve"> Ltd</w:t>
            </w:r>
          </w:p>
        </w:tc>
        <w:tc>
          <w:tcPr>
            <w:tcW w:w="3055" w:type="dxa"/>
          </w:tcPr>
          <w:p w14:paraId="1CFEC08E">
            <w:pPr>
              <w:widowControl w:val="0"/>
              <w:spacing w:after="0"/>
              <w:ind w:firstLine="281" w:firstLineChars="100"/>
              <w:jc w:val="both"/>
              <w:rPr>
                <w:rFonts w:hint="default" w:cs="Arial" w:eastAsiaTheme="minor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</w:p>
          <w:p w14:paraId="7D8D29F5">
            <w:pPr>
              <w:widowControl w:val="0"/>
              <w:spacing w:after="0"/>
              <w:ind w:firstLine="281" w:firstLineChars="100"/>
              <w:jc w:val="both"/>
              <w:rPr>
                <w:rFonts w:hint="default" w:cs="Arial" w:eastAsiaTheme="minor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cs="Arial" w:eastAsiaTheme="minor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investment</w:t>
            </w:r>
          </w:p>
          <w:p w14:paraId="516B1542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2048" w:type="dxa"/>
          </w:tcPr>
          <w:p w14:paraId="59D556FB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</w:p>
          <w:p w14:paraId="138A209B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construction,</w:t>
            </w:r>
          </w:p>
          <w:p w14:paraId="16569908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</w:p>
          <w:p w14:paraId="3C91007E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 xml:space="preserve"> Industrial Park</w:t>
            </w:r>
          </w:p>
        </w:tc>
      </w:tr>
      <w:tr w14:paraId="7F6D80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4" w:hRule="atLeast"/>
        </w:trPr>
        <w:tc>
          <w:tcPr>
            <w:tcW w:w="617" w:type="dxa"/>
          </w:tcPr>
          <w:p w14:paraId="5A5593FA">
            <w:pPr>
              <w:widowControl w:val="0"/>
              <w:spacing w:after="0"/>
              <w:jc w:val="center"/>
              <w:rPr>
                <w:rFonts w:hint="default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  <w:t>9</w:t>
            </w:r>
          </w:p>
        </w:tc>
        <w:tc>
          <w:tcPr>
            <w:tcW w:w="1518" w:type="dxa"/>
          </w:tcPr>
          <w:p w14:paraId="38CAD77C">
            <w:pPr>
              <w:widowControl w:val="0"/>
              <w:spacing w:after="0"/>
              <w:jc w:val="both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</w:pPr>
          </w:p>
          <w:p w14:paraId="0F50064B">
            <w:pPr>
              <w:widowControl w:val="0"/>
              <w:spacing w:after="0"/>
              <w:jc w:val="both"/>
              <w:rPr>
                <w:rFonts w:hint="default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  <w:t>潘秀江</w:t>
            </w:r>
          </w:p>
        </w:tc>
        <w:tc>
          <w:tcPr>
            <w:tcW w:w="4080" w:type="dxa"/>
          </w:tcPr>
          <w:p w14:paraId="0499F027">
            <w:pPr>
              <w:widowControl w:val="0"/>
              <w:spacing w:after="0"/>
              <w:jc w:val="both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上海助残康复器材有限公司</w:t>
            </w:r>
          </w:p>
          <w:p w14:paraId="2A99A570">
            <w:pPr>
              <w:widowControl w:val="0"/>
              <w:spacing w:after="0"/>
              <w:jc w:val="both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Shangha i Assist ant Rehabilit a tion Equipment co.,LTD</w:t>
            </w:r>
          </w:p>
          <w:p w14:paraId="7663FDED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3055" w:type="dxa"/>
          </w:tcPr>
          <w:p w14:paraId="129454FC">
            <w:pPr>
              <w:widowControl w:val="0"/>
              <w:spacing w:after="0"/>
              <w:jc w:val="center"/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  <w:t>康复器材</w:t>
            </w:r>
          </w:p>
          <w:p w14:paraId="52DFBED7">
            <w:pPr>
              <w:widowControl w:val="0"/>
              <w:spacing w:after="0"/>
              <w:jc w:val="center"/>
              <w:rPr>
                <w:rFonts w:hint="default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cs="Arial" w:eastAsiaTheme="minorEastAsia"/>
                <w:sz w:val="28"/>
                <w:szCs w:val="28"/>
                <w:vertAlign w:val="baseline"/>
                <w:lang w:val="en-US" w:eastAsia="zh-CN"/>
              </w:rPr>
              <w:t>Rehabilitation equipment</w:t>
            </w:r>
          </w:p>
        </w:tc>
        <w:tc>
          <w:tcPr>
            <w:tcW w:w="2048" w:type="dxa"/>
          </w:tcPr>
          <w:p w14:paraId="4EA4AB42">
            <w:pPr>
              <w:widowControl w:val="0"/>
              <w:spacing w:after="0"/>
              <w:jc w:val="center"/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  <w:t>假肢生产</w:t>
            </w:r>
          </w:p>
          <w:p w14:paraId="3A35EE69">
            <w:pPr>
              <w:widowControl w:val="0"/>
              <w:spacing w:after="0"/>
              <w:jc w:val="center"/>
              <w:rPr>
                <w:rFonts w:hint="default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cs="Arial" w:eastAsiaTheme="minorEastAsia"/>
                <w:sz w:val="28"/>
                <w:szCs w:val="28"/>
                <w:vertAlign w:val="baseline"/>
                <w:lang w:val="en-US" w:eastAsia="zh-CN"/>
              </w:rPr>
              <w:t xml:space="preserve"> Production of prosthetics</w:t>
            </w:r>
          </w:p>
        </w:tc>
      </w:tr>
      <w:tr w14:paraId="4B140A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7" w:hRule="atLeast"/>
        </w:trPr>
        <w:tc>
          <w:tcPr>
            <w:tcW w:w="617" w:type="dxa"/>
          </w:tcPr>
          <w:p w14:paraId="52CD7440">
            <w:pPr>
              <w:widowControl w:val="0"/>
              <w:spacing w:after="0"/>
              <w:jc w:val="center"/>
              <w:rPr>
                <w:rFonts w:hint="default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  <w:t>10</w:t>
            </w:r>
          </w:p>
        </w:tc>
        <w:tc>
          <w:tcPr>
            <w:tcW w:w="1518" w:type="dxa"/>
          </w:tcPr>
          <w:p w14:paraId="380C34E1">
            <w:pPr>
              <w:widowControl w:val="0"/>
              <w:spacing w:after="0"/>
              <w:ind w:firstLine="280" w:firstLineChars="100"/>
              <w:jc w:val="both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eastAsia="zh-CN"/>
              </w:rPr>
              <w:t>茅淳博</w:t>
            </w:r>
          </w:p>
          <w:p w14:paraId="6F6EF510">
            <w:pPr>
              <w:widowControl w:val="0"/>
              <w:spacing w:after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eastAsia="zh-CN"/>
              </w:rPr>
              <w:t>Mao Chunbo</w:t>
            </w:r>
          </w:p>
        </w:tc>
        <w:tc>
          <w:tcPr>
            <w:tcW w:w="4080" w:type="dxa"/>
          </w:tcPr>
          <w:p w14:paraId="353D2D79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上海数世信息科技有限公司</w:t>
            </w:r>
          </w:p>
          <w:p w14:paraId="211A2552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Shanghai Shushi Information Technology Co., Ltd.</w:t>
            </w:r>
          </w:p>
        </w:tc>
        <w:tc>
          <w:tcPr>
            <w:tcW w:w="3055" w:type="dxa"/>
          </w:tcPr>
          <w:p w14:paraId="7A160C50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  <w:t>3</w:t>
            </w: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C</w:t>
            </w:r>
            <w:r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  <w:t xml:space="preserve"> </w:t>
            </w: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电子（包括电脑）</w:t>
            </w:r>
          </w:p>
          <w:p w14:paraId="3473A085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新能源汽车整车和零部件（包括充电桩/设施）</w:t>
            </w:r>
          </w:p>
          <w:p w14:paraId="5ADA6AC5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特种车辆；水面救援船只；民用夜视仪；救灾探测设备；光伏/储能；户外照明；氢能；农机；无人机充电设备</w:t>
            </w:r>
          </w:p>
          <w:p w14:paraId="6BA3AF35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3C Electronics (incl. computers);</w:t>
            </w:r>
          </w:p>
          <w:p w14:paraId="34CB5353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New energy vehicles &amp; components (incl. charging stations/facilities);</w:t>
            </w:r>
          </w:p>
          <w:p w14:paraId="0580B120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Special vehicles, water rescue boats, civilian night vision devices, disaster detection equipment, photovoltaic/storage, outdoor lighting, hydrogen energy, agricultural machinery, UAV charging equipment;</w:t>
            </w:r>
          </w:p>
        </w:tc>
        <w:tc>
          <w:tcPr>
            <w:tcW w:w="2048" w:type="dxa"/>
          </w:tcPr>
          <w:p w14:paraId="2C175D2F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3C电子（包括电脑）批发；</w:t>
            </w:r>
          </w:p>
          <w:p w14:paraId="4154FC2D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新能源汽车整车和零部件（包括充电桩/设施）批发商/4S店，维修厂，加油站和充电站等；</w:t>
            </w:r>
          </w:p>
          <w:p w14:paraId="0CEF2FAE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再生能源服务商和机构等；</w:t>
            </w:r>
          </w:p>
          <w:p w14:paraId="79259B2B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3C Electronics (incl. computers) wholesalers;</w:t>
            </w:r>
          </w:p>
          <w:p w14:paraId="344A10BB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New energy vehicle wholesalers/4S shops, repair shops, gas stations, charging stations;</w:t>
            </w:r>
          </w:p>
          <w:p w14:paraId="310939CB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Renewable energy service providers/instituti</w:t>
            </w:r>
            <w:r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  <w:t>:</w:t>
            </w:r>
          </w:p>
          <w:p w14:paraId="1E754CC0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</w:p>
          <w:p w14:paraId="68F9142B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出口/进口/投资/合资企业ons;</w:t>
            </w:r>
          </w:p>
          <w:p w14:paraId="6D9BF6ED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</w:p>
          <w:p w14:paraId="728577B0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Export/Import/Investment/Joint Enterprise</w:t>
            </w:r>
          </w:p>
        </w:tc>
      </w:tr>
      <w:tr w14:paraId="29826A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7" w:hRule="atLeast"/>
        </w:trPr>
        <w:tc>
          <w:tcPr>
            <w:tcW w:w="617" w:type="dxa"/>
          </w:tcPr>
          <w:p w14:paraId="43879880">
            <w:pPr>
              <w:widowControl w:val="0"/>
              <w:spacing w:after="0"/>
              <w:jc w:val="center"/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</w:p>
          <w:p w14:paraId="392A9430">
            <w:pPr>
              <w:widowControl w:val="0"/>
              <w:spacing w:after="0"/>
              <w:jc w:val="center"/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</w:p>
          <w:p w14:paraId="1C4D3480">
            <w:pPr>
              <w:widowControl w:val="0"/>
              <w:spacing w:after="0"/>
              <w:jc w:val="center"/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</w:p>
          <w:p w14:paraId="498594F7">
            <w:pPr>
              <w:widowControl w:val="0"/>
              <w:spacing w:after="0"/>
              <w:jc w:val="center"/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</w:p>
          <w:p w14:paraId="4FB943BD">
            <w:pPr>
              <w:widowControl w:val="0"/>
              <w:spacing w:after="0"/>
              <w:jc w:val="center"/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</w:p>
          <w:p w14:paraId="3E848BE5">
            <w:pPr>
              <w:widowControl w:val="0"/>
              <w:spacing w:after="0"/>
              <w:jc w:val="center"/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</w:p>
          <w:p w14:paraId="0B8B3C86">
            <w:pPr>
              <w:widowControl w:val="0"/>
              <w:spacing w:after="0"/>
              <w:jc w:val="center"/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</w:p>
          <w:p w14:paraId="4D696B8C">
            <w:pPr>
              <w:widowControl w:val="0"/>
              <w:spacing w:after="0"/>
              <w:jc w:val="center"/>
              <w:rPr>
                <w:rFonts w:hint="default" w:cs="Arial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cs="Arial" w:eastAsiaTheme="minorEastAsia"/>
                <w:sz w:val="28"/>
                <w:szCs w:val="28"/>
                <w:vertAlign w:val="baseline"/>
                <w:lang w:val="en-US" w:eastAsia="zh-CN"/>
              </w:rPr>
              <w:t>11</w:t>
            </w:r>
          </w:p>
        </w:tc>
        <w:tc>
          <w:tcPr>
            <w:tcW w:w="1518" w:type="dxa"/>
          </w:tcPr>
          <w:p w14:paraId="61BB5858">
            <w:pPr>
              <w:widowControl w:val="0"/>
              <w:spacing w:after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</w:pPr>
          </w:p>
          <w:p w14:paraId="26610878">
            <w:pPr>
              <w:widowControl w:val="0"/>
              <w:spacing w:after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</w:pPr>
          </w:p>
          <w:p w14:paraId="08BDB446">
            <w:pPr>
              <w:widowControl w:val="0"/>
              <w:spacing w:after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</w:pPr>
          </w:p>
          <w:p w14:paraId="524736D4">
            <w:pPr>
              <w:widowControl w:val="0"/>
              <w:spacing w:after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</w:pPr>
          </w:p>
          <w:p w14:paraId="073655BA">
            <w:pPr>
              <w:widowControl w:val="0"/>
              <w:spacing w:after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</w:pPr>
          </w:p>
          <w:p w14:paraId="41900FB8">
            <w:pPr>
              <w:widowControl w:val="0"/>
              <w:spacing w:after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</w:pPr>
          </w:p>
          <w:p w14:paraId="594099C5">
            <w:pPr>
              <w:widowControl w:val="0"/>
              <w:spacing w:after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  <w:t>王琪</w:t>
            </w:r>
          </w:p>
          <w:p w14:paraId="73596653">
            <w:pPr>
              <w:widowControl w:val="0"/>
              <w:spacing w:after="0"/>
              <w:jc w:val="center"/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</w:pPr>
          </w:p>
          <w:p w14:paraId="375EE027">
            <w:pPr>
              <w:widowControl w:val="0"/>
              <w:spacing w:after="0"/>
              <w:jc w:val="center"/>
              <w:rPr>
                <w:rFonts w:hint="default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vertAlign w:val="baseline"/>
                <w:lang w:val="en-US" w:eastAsia="zh-CN"/>
              </w:rPr>
              <w:t>WANGQI</w:t>
            </w:r>
          </w:p>
        </w:tc>
        <w:tc>
          <w:tcPr>
            <w:tcW w:w="4080" w:type="dxa"/>
          </w:tcPr>
          <w:p w14:paraId="450E5127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</w:p>
          <w:p w14:paraId="070CFE1F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</w:p>
          <w:p w14:paraId="57BE8E15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</w:p>
          <w:p w14:paraId="0E03BF98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</w:p>
          <w:p w14:paraId="3ACCDF65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</w:p>
          <w:p w14:paraId="23C558EF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</w:p>
          <w:p w14:paraId="2DC442CB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</w:p>
          <w:p w14:paraId="5740BF3A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英朗信息科技（上海）有限公司</w:t>
            </w:r>
          </w:p>
          <w:p w14:paraId="4D3CE647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Yinglang Information Technology (Shanghai) Co., Ltd.</w:t>
            </w:r>
          </w:p>
        </w:tc>
        <w:tc>
          <w:tcPr>
            <w:tcW w:w="3055" w:type="dxa"/>
          </w:tcPr>
          <w:p w14:paraId="1DEADB50">
            <w:pPr>
              <w:widowControl w:val="0"/>
              <w:spacing w:after="0"/>
              <w:jc w:val="both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</w:p>
          <w:p w14:paraId="1D9DCDA9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</w:p>
          <w:p w14:paraId="7C262AEB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IT服务/外包（包括数据中心）</w:t>
            </w:r>
          </w:p>
          <w:p w14:paraId="2098346C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物流行业; 大宗商品；农机产品; 劳保产品; 零售超市; 家居, 家具;</w:t>
            </w:r>
          </w:p>
          <w:p w14:paraId="2B387DCF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IT Services/Outsourcing (incl. data centers);</w:t>
            </w:r>
          </w:p>
          <w:p w14:paraId="68DB1881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Logistics; commodities; agricultural machinery; labor protection products; retail supermarkets; home furnishings</w:t>
            </w:r>
          </w:p>
        </w:tc>
        <w:tc>
          <w:tcPr>
            <w:tcW w:w="2048" w:type="dxa"/>
          </w:tcPr>
          <w:p w14:paraId="16ACD545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IT服务包括软件, 硬件, 通讯产品和服务;</w:t>
            </w:r>
          </w:p>
          <w:p w14:paraId="7BE6534D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物流做欧盟边境物流与乌克兰境内物流;</w:t>
            </w:r>
          </w:p>
          <w:p w14:paraId="78B69F48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大宗商品进出口; 农机产品; 劳保系列产品; 零售超市系列产品;</w:t>
            </w:r>
          </w:p>
          <w:p w14:paraId="1464A3AF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乌克兰旅游业升级所需软装, 硬装类产品.</w:t>
            </w:r>
          </w:p>
          <w:p w14:paraId="3166B41E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IT services (software, hardware, communication products/services);</w:t>
            </w:r>
          </w:p>
          <w:p w14:paraId="2BAE3DED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Logistics for EU borders &amp; domestic Ukraine;</w:t>
            </w:r>
          </w:p>
          <w:p w14:paraId="3CEE1A34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Commodity import/export; agricultural machinery; labor protection products; retail supermarket products;</w:t>
            </w:r>
          </w:p>
          <w:p w14:paraId="33023449">
            <w:pPr>
              <w:widowControl w:val="0"/>
              <w:spacing w:after="0"/>
              <w:jc w:val="center"/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default" w:ascii="Arial" w:hAnsi="Arial" w:cs="Arial" w:eastAsiaTheme="minorEastAsia"/>
                <w:sz w:val="28"/>
                <w:szCs w:val="28"/>
                <w:vertAlign w:val="baseline"/>
                <w:lang w:eastAsia="zh-CN"/>
              </w:rPr>
              <w:t>Interior design &amp; construction materials for Ukrainian tourism upgrades</w:t>
            </w:r>
          </w:p>
        </w:tc>
      </w:tr>
    </w:tbl>
    <w:p w14:paraId="2BD84586">
      <w:pPr>
        <w:pStyle w:val="2"/>
        <w:spacing w:before="2" w:line="246" w:lineRule="auto"/>
        <w:ind w:left="5" w:right="7534" w:hanging="5"/>
        <w:jc w:val="both"/>
        <w:rPr>
          <w:rFonts w:hint="default" w:asciiTheme="minorEastAsia" w:hAnsiTheme="minorEastAsia" w:eastAsiaTheme="minorEastAsia" w:cstheme="minorEastAsia"/>
          <w:sz w:val="28"/>
          <w:szCs w:val="28"/>
          <w:lang w:val="en-US"/>
        </w:rPr>
      </w:pPr>
    </w:p>
    <w:p w14:paraId="5879CB70">
      <w:pPr>
        <w:pStyle w:val="2"/>
        <w:spacing w:before="2" w:line="246" w:lineRule="auto"/>
        <w:ind w:left="5" w:right="7534" w:hanging="5"/>
        <w:jc w:val="both"/>
        <w:rPr>
          <w:rFonts w:hint="default" w:asciiTheme="minorEastAsia" w:hAnsiTheme="minorEastAsia" w:eastAsiaTheme="minorEastAsia" w:cstheme="minorEastAsia"/>
          <w:sz w:val="28"/>
          <w:szCs w:val="28"/>
          <w:lang w:val="en-US"/>
        </w:rPr>
      </w:pPr>
    </w:p>
    <w:p w14:paraId="59334F27">
      <w:pPr>
        <w:pStyle w:val="2"/>
        <w:spacing w:before="2" w:line="246" w:lineRule="auto"/>
        <w:ind w:left="5" w:right="7534" w:hanging="5"/>
        <w:jc w:val="both"/>
        <w:rPr>
          <w:rFonts w:hint="default" w:asciiTheme="minorEastAsia" w:hAnsiTheme="minorEastAsia" w:eastAsiaTheme="minorEastAsia" w:cstheme="minorEastAsia"/>
          <w:sz w:val="28"/>
          <w:szCs w:val="28"/>
          <w:lang w:val="en-US"/>
        </w:rPr>
      </w:pPr>
    </w:p>
    <w:p w14:paraId="7AB3E0A1">
      <w:pPr>
        <w:pStyle w:val="2"/>
        <w:spacing w:before="2" w:line="246" w:lineRule="auto"/>
        <w:ind w:left="5" w:right="7534" w:hanging="5"/>
        <w:jc w:val="both"/>
        <w:rPr>
          <w:rFonts w:hint="default" w:asciiTheme="minorEastAsia" w:hAnsiTheme="minorEastAsia" w:eastAsiaTheme="minorEastAsia" w:cstheme="minorEastAsia"/>
          <w:sz w:val="28"/>
          <w:szCs w:val="28"/>
          <w:lang w:val="en-US"/>
        </w:rPr>
      </w:pPr>
    </w:p>
    <w:sectPr>
      <w:headerReference r:id="rId5" w:type="default"/>
      <w:pgSz w:w="11905" w:h="16839"/>
      <w:pgMar w:top="400" w:right="1196" w:bottom="0" w:left="1191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  <w:embedRegular r:id="rId1" w:fontKey="{126BD1BC-B8DF-49E2-BDD1-58F2285703B5}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2" w:fontKey="{6C25244A-64F3-4F7A-AA81-42E087EDFBD8}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  <w:embedRegular r:id="rId3" w:fontKey="{5D3E35CC-57D4-43FC-ACFA-2C2C54D10D10}"/>
  </w:font>
  <w:font w:name="Malgun Gothic Semilight">
    <w:panose1 w:val="020B0502040204020203"/>
    <w:charset w:val="86"/>
    <w:family w:val="auto"/>
    <w:pitch w:val="default"/>
    <w:sig w:usb0="900002AF" w:usb1="01D77CFB" w:usb2="00000012" w:usb3="00000000" w:csb0="203E01BD" w:csb1="D7FF0000"/>
    <w:embedRegular r:id="rId4" w:fontKey="{3B1401A4-CC87-40FD-86E4-32C3CEB1DDE3}"/>
  </w:font>
  <w:font w:name="MS Gothic">
    <w:panose1 w:val="020B0609070205080204"/>
    <w:charset w:val="80"/>
    <w:family w:val="auto"/>
    <w:pitch w:val="default"/>
    <w:sig w:usb0="E00002FF" w:usb1="6AC7FDFB" w:usb2="08000012" w:usb3="00000000" w:csb0="4002009F" w:csb1="DFD70000"/>
    <w:embedRegular r:id="rId5" w:fontKey="{AA049C09-60A4-4F73-961D-9A53C3FEBCDC}"/>
  </w:font>
  <w:font w:name="MS PGothic">
    <w:panose1 w:val="020B0600070205080204"/>
    <w:charset w:val="80"/>
    <w:family w:val="auto"/>
    <w:pitch w:val="default"/>
    <w:sig w:usb0="E00002FF" w:usb1="6AC7FDFB" w:usb2="08000012" w:usb3="00000000" w:csb0="4002009F" w:csb1="DFD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D7C5B1A">
    <w:pPr>
      <w:spacing w:line="14" w:lineRule="auto"/>
      <w:rPr>
        <w:rFonts w:ascii="Arial"/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50"/>
  <w:displayBackgroundShape w:val="1"/>
  <w:embedTrueTypeFonts/>
  <w:saveSubsetFonts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compatSetting w:name="compatibilityMode" w:uri="http://schemas.microsoft.com/office/word" w:val="14"/>
  </w:compat>
  <w:rsids>
    <w:rsidRoot w:val="00000000"/>
    <w:rsid w:val="041378FD"/>
    <w:rsid w:val="05421798"/>
    <w:rsid w:val="06900727"/>
    <w:rsid w:val="073949DD"/>
    <w:rsid w:val="0FDB093B"/>
    <w:rsid w:val="121A463C"/>
    <w:rsid w:val="12857FE0"/>
    <w:rsid w:val="138118AC"/>
    <w:rsid w:val="15684928"/>
    <w:rsid w:val="21B26413"/>
    <w:rsid w:val="238A080A"/>
    <w:rsid w:val="264B1C29"/>
    <w:rsid w:val="3A45539B"/>
    <w:rsid w:val="3BC3031C"/>
    <w:rsid w:val="3BF10846"/>
    <w:rsid w:val="40E42ED7"/>
    <w:rsid w:val="43887FA3"/>
    <w:rsid w:val="47B5258A"/>
    <w:rsid w:val="4CB6269D"/>
    <w:rsid w:val="4CE36423"/>
    <w:rsid w:val="4DC17AF9"/>
    <w:rsid w:val="4F2435DF"/>
    <w:rsid w:val="5605325D"/>
    <w:rsid w:val="58550DFC"/>
    <w:rsid w:val="61143983"/>
    <w:rsid w:val="6935246E"/>
    <w:rsid w:val="69B804EF"/>
    <w:rsid w:val="69BE64A5"/>
    <w:rsid w:val="6B5B4DAC"/>
    <w:rsid w:val="6CE201C4"/>
    <w:rsid w:val="77107D6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Calibri" w:hAnsi="Calibri" w:eastAsia="Calibri" w:cs="Calibri"/>
      <w:sz w:val="22"/>
      <w:szCs w:val="22"/>
      <w:lang w:val="en-US" w:eastAsia="en-US" w:bidi="ar-SA"/>
    </w:rPr>
  </w:style>
  <w:style w:type="paragraph" w:styleId="3">
    <w:name w:val="footer"/>
    <w:basedOn w:val="1"/>
    <w:unhideWhenUsed/>
    <w:qFormat/>
    <w:uiPriority w:val="99"/>
    <w:pPr>
      <w:tabs>
        <w:tab w:val="center" w:pos="4819"/>
        <w:tab w:val="right" w:pos="9639"/>
      </w:tabs>
      <w:spacing w:after="0" w:line="240" w:lineRule="auto"/>
    </w:pPr>
  </w:style>
  <w:style w:type="paragraph" w:styleId="4">
    <w:name w:val="header"/>
    <w:basedOn w:val="1"/>
    <w:unhideWhenUsed/>
    <w:qFormat/>
    <w:uiPriority w:val="99"/>
    <w:pPr>
      <w:tabs>
        <w:tab w:val="center" w:pos="4819"/>
        <w:tab w:val="right" w:pos="9639"/>
      </w:tabs>
      <w:spacing w:after="0" w:line="240" w:lineRule="auto"/>
    </w:pPr>
  </w:style>
  <w:style w:type="table" w:styleId="6">
    <w:name w:val="Table Grid"/>
    <w:basedOn w:val="5"/>
    <w:qFormat/>
    <w:uiPriority w:val="0"/>
    <w:pPr>
      <w:spacing w:after="0" w:line="240" w:lineRule="auto"/>
    </w:pPr>
    <w:rPr>
      <w:kern w:val="2"/>
      <w:sz w:val="21"/>
      <w:lang w:val="en-US" w:eastAsia="zh-C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9">
    <w:name w:val="NormalCharact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2.jpeg"/><Relationship Id="rId7" Type="http://schemas.openxmlformats.org/officeDocument/2006/relationships/image" Target="media/image1.png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4</Pages>
  <Words>975</Words>
  <Characters>2952</Characters>
  <TotalTime>16</TotalTime>
  <ScaleCrop>false</ScaleCrop>
  <LinksUpToDate>false</LinksUpToDate>
  <CharactersWithSpaces>3204</CharactersWithSpaces>
  <Application>WPS Office_12.1.0.19770_F1E327BC-269C-435d-A152-05C5408002CA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2025-02-26T15:41:00Z</dcterms:created>
  <dc:creator>Пользователь Windows</dc:creator>
  <cp:lastModifiedBy>玛雅 </cp:lastModifiedBy>
  <cp:lastPrinted>2025-03-25T12:10:00Z</cp:lastPrinted>
  <dcterms:modified xsi:type="dcterms:W3CDTF">2025-05-13T14:38:48Z</dcterms:modified>
  <dc:title>бланк-1.1 инвест_1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2025-02-27T12:04:42Z</vt:filetime>
  </property>
  <property fmtid="{D5CDD505-2E9C-101B-9397-08002B2CF9AE}" pid="4" name="KSOTemplateDocerSaveRecord">
    <vt:lpwstr>eyJoZGlkIjoiNjUyN2QwNjlkZDUwYTY4Y2Y3NzlhN2Y4NjAxOWQ0YzkiLCJ1c2VySWQiOiI1MjQ2MjczNDgifQ==</vt:lpwstr>
  </property>
  <property fmtid="{D5CDD505-2E9C-101B-9397-08002B2CF9AE}" pid="5" name="KSOProductBuildVer">
    <vt:lpwstr>2052-12.1.0.19770</vt:lpwstr>
  </property>
  <property fmtid="{D5CDD505-2E9C-101B-9397-08002B2CF9AE}" pid="6" name="ICV">
    <vt:lpwstr>3F737B89EAF64F5FBBF9EDD43981F7E2_12</vt:lpwstr>
  </property>
</Properties>
</file>